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естественно-научного 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 СОО с учетом максимальной общей нагрузки при шестидневной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Естественно-научный профиль ориентирует на такие сферы деятельности, как медицина, биотехнологии и др.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естественно-научного профиля 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биологии и химии.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обеспечивает преподавание и изучение предмета «Второй иностранный язык (французский)» на основании </w:t>
      </w:r>
      <w:r>
        <w:rPr>
          <w:rFonts w:hAnsi="Times New Roman" w:cs="Times New Roman"/>
          <w:color w:val="000000"/>
          <w:sz w:val="24"/>
          <w:szCs w:val="24"/>
        </w:rPr>
        <w:t>заявлений родителей (законных представителей) несовершеннолетних обучающихся</w:t>
      </w:r>
      <w:r>
        <w:rPr>
          <w:rFonts w:hAnsi="Times New Roman" w:cs="Times New Roman"/>
          <w:color w:val="000000"/>
          <w:sz w:val="24"/>
          <w:szCs w:val="24"/>
        </w:rPr>
        <w:t>. Учебный предмет представлен в объеме 1 часа в неделю в 10–11-х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 (французский)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Прикладная 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генетики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ЕСТЕСТВЕННО-НАУЧНОГО ПРОФИЛЯ ПРИ ШЕСТИДНЕВНОЙ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11-й класс (34 учебные недели) 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 (французский)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Прикладная 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генетики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08b4ce77ecc1436b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